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2" w:rsidRPr="00697C82" w:rsidRDefault="00697C82">
      <w:pPr>
        <w:rPr>
          <w:b/>
        </w:rPr>
      </w:pPr>
      <w:r w:rsidRPr="00697C82">
        <w:rPr>
          <w:b/>
        </w:rPr>
        <w:t xml:space="preserve">Key Player </w:t>
      </w:r>
      <w:proofErr w:type="spellStart"/>
      <w:r w:rsidRPr="00697C82">
        <w:rPr>
          <w:b/>
        </w:rPr>
        <w:t>Identification</w:t>
      </w:r>
      <w:proofErr w:type="spellEnd"/>
      <w:r w:rsidRPr="00697C82">
        <w:rPr>
          <w:b/>
        </w:rPr>
        <w:t xml:space="preserve"> </w:t>
      </w:r>
    </w:p>
    <w:p w:rsidR="00697C82" w:rsidRDefault="00697C82" w:rsidP="00697C82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(„</w:t>
      </w:r>
      <w:proofErr w:type="spellStart"/>
      <w:r>
        <w:t>key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“). Project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(e.g. </w:t>
      </w:r>
      <w:proofErr w:type="spellStart"/>
      <w:r>
        <w:t>as</w:t>
      </w:r>
      <w:proofErr w:type="spellEnd"/>
      <w:r>
        <w:t xml:space="preserve"> „</w:t>
      </w:r>
      <w:proofErr w:type="spellStart"/>
      <w:r>
        <w:t>promoters</w:t>
      </w:r>
      <w:proofErr w:type="spellEnd"/>
      <w:r>
        <w:t xml:space="preserve">“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agents</w:t>
      </w:r>
      <w:proofErr w:type="spellEnd"/>
      <w:r>
        <w:t>“).</w:t>
      </w:r>
    </w:p>
    <w:tbl>
      <w:tblPr>
        <w:tblStyle w:val="Tabellenraster"/>
        <w:tblpPr w:leftFromText="141" w:rightFromText="141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88"/>
      </w:tblGrid>
      <w:tr w:rsidR="00697C82" w:rsidTr="00697C82">
        <w:trPr>
          <w:trHeight w:val="349"/>
        </w:trPr>
        <w:tc>
          <w:tcPr>
            <w:tcW w:w="1275" w:type="dxa"/>
          </w:tcPr>
          <w:p w:rsidR="00697C82" w:rsidRDefault="00697C82" w:rsidP="00697C82">
            <w:proofErr w:type="spellStart"/>
            <w:r>
              <w:t>Employee</w:t>
            </w:r>
            <w:proofErr w:type="spellEnd"/>
            <w:r>
              <w:t>:</w:t>
            </w:r>
          </w:p>
        </w:tc>
        <w:tc>
          <w:tcPr>
            <w:tcW w:w="3488" w:type="dxa"/>
          </w:tcPr>
          <w:p w:rsidR="00697C82" w:rsidRPr="000431E2" w:rsidRDefault="00697C82" w:rsidP="00697C82">
            <w:pPr>
              <w:rPr>
                <w:b/>
              </w:rPr>
            </w:pPr>
            <w:r w:rsidRPr="000431E2">
              <w:rPr>
                <w:b/>
              </w:rPr>
              <w:t>________________________</w:t>
            </w:r>
          </w:p>
        </w:tc>
      </w:tr>
      <w:tr w:rsidR="00697C82" w:rsidTr="00697C82">
        <w:trPr>
          <w:trHeight w:val="361"/>
        </w:trPr>
        <w:tc>
          <w:tcPr>
            <w:tcW w:w="1275" w:type="dxa"/>
          </w:tcPr>
          <w:p w:rsidR="00697C82" w:rsidRDefault="00697C82" w:rsidP="00697C82">
            <w:r>
              <w:t>Unit:</w:t>
            </w:r>
          </w:p>
        </w:tc>
        <w:tc>
          <w:tcPr>
            <w:tcW w:w="3488" w:type="dxa"/>
          </w:tcPr>
          <w:p w:rsidR="00697C82" w:rsidRPr="000431E2" w:rsidRDefault="00697C82" w:rsidP="00697C82">
            <w:pPr>
              <w:rPr>
                <w:b/>
              </w:rPr>
            </w:pPr>
            <w:r w:rsidRPr="000431E2">
              <w:rPr>
                <w:b/>
              </w:rPr>
              <w:t>________________________</w:t>
            </w:r>
          </w:p>
        </w:tc>
      </w:tr>
      <w:tr w:rsidR="00697C82" w:rsidTr="00697C82">
        <w:trPr>
          <w:trHeight w:val="361"/>
        </w:trPr>
        <w:tc>
          <w:tcPr>
            <w:tcW w:w="1275" w:type="dxa"/>
          </w:tcPr>
          <w:p w:rsidR="00697C82" w:rsidRDefault="00697C82" w:rsidP="00697C82">
            <w:proofErr w:type="spellStart"/>
            <w:r>
              <w:t>Function</w:t>
            </w:r>
            <w:proofErr w:type="spellEnd"/>
            <w:r>
              <w:t>:</w:t>
            </w:r>
          </w:p>
        </w:tc>
        <w:tc>
          <w:tcPr>
            <w:tcW w:w="3488" w:type="dxa"/>
          </w:tcPr>
          <w:p w:rsidR="00697C82" w:rsidRPr="000431E2" w:rsidRDefault="00697C82" w:rsidP="00697C82">
            <w:pPr>
              <w:rPr>
                <w:b/>
              </w:rPr>
            </w:pPr>
            <w:r w:rsidRPr="000431E2">
              <w:rPr>
                <w:b/>
              </w:rPr>
              <w:t>________________________</w:t>
            </w:r>
          </w:p>
        </w:tc>
      </w:tr>
    </w:tbl>
    <w:p w:rsidR="009C047C" w:rsidRDefault="009C047C"/>
    <w:tbl>
      <w:tblPr>
        <w:tblStyle w:val="Tabellenraster"/>
        <w:tblpPr w:leftFromText="141" w:rightFromText="141" w:vertAnchor="text" w:horzAnchor="margin" w:tblpY="10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667"/>
        <w:gridCol w:w="910"/>
        <w:gridCol w:w="971"/>
        <w:gridCol w:w="872"/>
      </w:tblGrid>
      <w:tr w:rsidR="00697C82" w:rsidTr="00697C82">
        <w:trPr>
          <w:trHeight w:val="32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97C82" w:rsidRDefault="00697C82" w:rsidP="00697C82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697C82" w:rsidRDefault="00697C82" w:rsidP="00697C82"/>
        </w:tc>
        <w:tc>
          <w:tcPr>
            <w:tcW w:w="2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C82" w:rsidRPr="00EF6A62" w:rsidRDefault="00697C82" w:rsidP="00697C82">
            <w:pPr>
              <w:jc w:val="center"/>
              <w:rPr>
                <w:b/>
              </w:rPr>
            </w:pPr>
            <w:proofErr w:type="spellStart"/>
            <w:r w:rsidRPr="00EF6A62">
              <w:rPr>
                <w:b/>
              </w:rPr>
              <w:t>Specification</w:t>
            </w:r>
            <w:proofErr w:type="spellEnd"/>
          </w:p>
        </w:tc>
      </w:tr>
      <w:tr w:rsidR="00697C82" w:rsidTr="00697C82">
        <w:trPr>
          <w:trHeight w:val="32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97C82" w:rsidRDefault="00697C82" w:rsidP="00697C82"/>
        </w:tc>
        <w:tc>
          <w:tcPr>
            <w:tcW w:w="3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pPr>
              <w:jc w:val="center"/>
            </w:pPr>
            <w:proofErr w:type="spellStart"/>
            <w:r>
              <w:t>No</w:t>
            </w:r>
            <w:proofErr w:type="spellEnd"/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pPr>
              <w:jc w:val="center"/>
            </w:pPr>
            <w:r>
              <w:t>Medium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pPr>
              <w:jc w:val="center"/>
            </w:pPr>
            <w:r>
              <w:t>Yes</w:t>
            </w:r>
          </w:p>
        </w:tc>
      </w:tr>
      <w:tr w:rsidR="00697C82" w:rsidTr="00697C82">
        <w:trPr>
          <w:trHeight w:val="322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697C82" w:rsidRDefault="00697C82" w:rsidP="00697C8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97C82" w:rsidRPr="00C062A3" w:rsidRDefault="00FF6C21" w:rsidP="00FF6C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Attribute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>H</w:t>
            </w:r>
            <w:r w:rsidRPr="009C047C">
              <w:t xml:space="preserve">ead </w:t>
            </w:r>
            <w:proofErr w:type="spellStart"/>
            <w:r w:rsidRPr="009C047C">
              <w:t>of</w:t>
            </w:r>
            <w:proofErr w:type="spellEnd"/>
            <w:r w:rsidRPr="009C047C">
              <w:t xml:space="preserve"> a relevant </w:t>
            </w:r>
            <w:proofErr w:type="spellStart"/>
            <w:r w:rsidRPr="009C047C">
              <w:t>area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33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>E</w:t>
            </w:r>
            <w:r w:rsidRPr="009C047C">
              <w:t xml:space="preserve">xtensive </w:t>
            </w:r>
            <w:proofErr w:type="spellStart"/>
            <w:r w:rsidRPr="009C047C">
              <w:t>project</w:t>
            </w:r>
            <w:proofErr w:type="spellEnd"/>
            <w:r w:rsidRPr="009C047C">
              <w:t xml:space="preserve"> </w:t>
            </w:r>
            <w:proofErr w:type="spellStart"/>
            <w:r w:rsidRPr="009C047C">
              <w:t>experience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22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Pr="009C047C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proofErr w:type="spellStart"/>
            <w:r w:rsidRPr="009C047C">
              <w:t>Program</w:t>
            </w:r>
            <w:proofErr w:type="spellEnd"/>
            <w:r w:rsidRPr="009C047C">
              <w:t xml:space="preserve"> Management Experience</w:t>
            </w:r>
          </w:p>
        </w:tc>
        <w:tc>
          <w:tcPr>
            <w:tcW w:w="910" w:type="dxa"/>
          </w:tcPr>
          <w:p w:rsidR="00697C82" w:rsidRPr="009C047C" w:rsidRDefault="00697C82" w:rsidP="00697C82"/>
        </w:tc>
        <w:tc>
          <w:tcPr>
            <w:tcW w:w="971" w:type="dxa"/>
          </w:tcPr>
          <w:p w:rsidR="00697C82" w:rsidRPr="009C047C" w:rsidRDefault="00697C82" w:rsidP="00697C82"/>
        </w:tc>
        <w:tc>
          <w:tcPr>
            <w:tcW w:w="872" w:type="dxa"/>
          </w:tcPr>
          <w:p w:rsidR="00697C82" w:rsidRPr="009C047C" w:rsidRDefault="00697C82" w:rsidP="00697C82"/>
        </w:tc>
      </w:tr>
      <w:tr w:rsidR="00697C82" w:rsidTr="00697C82">
        <w:trPr>
          <w:trHeight w:val="333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 xml:space="preserve">Special </w:t>
            </w:r>
            <w:proofErr w:type="spellStart"/>
            <w:r>
              <w:t>communicative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22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>S</w:t>
            </w:r>
            <w:r w:rsidRPr="009C047C">
              <w:t xml:space="preserve">pecial professional </w:t>
            </w:r>
            <w:proofErr w:type="spellStart"/>
            <w:r w:rsidRPr="009C047C">
              <w:t>skills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33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>S</w:t>
            </w:r>
            <w:r w:rsidRPr="009C047C">
              <w:t xml:space="preserve">pecial quantitative/qualitative </w:t>
            </w:r>
            <w:proofErr w:type="spellStart"/>
            <w:r w:rsidRPr="009C047C">
              <w:t>resources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22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>C</w:t>
            </w:r>
            <w:r w:rsidRPr="009C047C">
              <w:t xml:space="preserve">ontrols </w:t>
            </w:r>
            <w:proofErr w:type="spellStart"/>
            <w:r w:rsidRPr="009C047C">
              <w:t>important</w:t>
            </w:r>
            <w:proofErr w:type="spellEnd"/>
            <w:r w:rsidRPr="009C047C">
              <w:t xml:space="preserve"> </w:t>
            </w:r>
            <w:proofErr w:type="spellStart"/>
            <w:r w:rsidRPr="009C047C">
              <w:t>processes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33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proofErr w:type="spellStart"/>
            <w:r>
              <w:t>L</w:t>
            </w:r>
            <w:r w:rsidRPr="009C047C">
              <w:t>ocated</w:t>
            </w:r>
            <w:proofErr w:type="spellEnd"/>
            <w:r w:rsidRPr="009C047C">
              <w:t xml:space="preserve"> at </w:t>
            </w:r>
            <w:proofErr w:type="spellStart"/>
            <w:r w:rsidRPr="009C047C">
              <w:t>important</w:t>
            </w:r>
            <w:proofErr w:type="spellEnd"/>
            <w:r w:rsidRPr="009C047C">
              <w:t xml:space="preserve"> </w:t>
            </w:r>
            <w:proofErr w:type="spellStart"/>
            <w:r w:rsidRPr="009C047C">
              <w:t>information</w:t>
            </w:r>
            <w:proofErr w:type="spellEnd"/>
            <w:r w:rsidRPr="009C047C">
              <w:t xml:space="preserve"> </w:t>
            </w:r>
            <w:proofErr w:type="spellStart"/>
            <w:r w:rsidRPr="009C047C">
              <w:t>nodes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22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proofErr w:type="spellStart"/>
            <w:r>
              <w:t>G</w:t>
            </w:r>
            <w:r w:rsidRPr="009C047C">
              <w:t>ood</w:t>
            </w:r>
            <w:proofErr w:type="spellEnd"/>
            <w:r w:rsidRPr="009C047C">
              <w:t xml:space="preserve"> </w:t>
            </w:r>
            <w:proofErr w:type="spellStart"/>
            <w:r w:rsidRPr="009C047C">
              <w:t>relations</w:t>
            </w:r>
            <w:proofErr w:type="spellEnd"/>
            <w:r w:rsidRPr="009C047C">
              <w:t xml:space="preserve"> outside </w:t>
            </w:r>
            <w:proofErr w:type="spellStart"/>
            <w:r w:rsidRPr="009C047C">
              <w:t>the</w:t>
            </w:r>
            <w:proofErr w:type="spellEnd"/>
            <w:r w:rsidRPr="009C047C">
              <w:t xml:space="preserve"> </w:t>
            </w:r>
            <w:proofErr w:type="spellStart"/>
            <w:r w:rsidRPr="009C047C">
              <w:t>company</w:t>
            </w:r>
            <w:proofErr w:type="spellEnd"/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  <w:tr w:rsidR="00697C82" w:rsidTr="00697C82">
        <w:trPr>
          <w:trHeight w:val="333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7C82" w:rsidRDefault="00697C82" w:rsidP="00697C82"/>
        </w:tc>
        <w:tc>
          <w:tcPr>
            <w:tcW w:w="3667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697C82" w:rsidRDefault="00697C82" w:rsidP="00697C82">
            <w:r>
              <w:t>…</w:t>
            </w:r>
          </w:p>
        </w:tc>
        <w:tc>
          <w:tcPr>
            <w:tcW w:w="910" w:type="dxa"/>
          </w:tcPr>
          <w:p w:rsidR="00697C82" w:rsidRDefault="00697C82" w:rsidP="00697C82"/>
        </w:tc>
        <w:tc>
          <w:tcPr>
            <w:tcW w:w="971" w:type="dxa"/>
          </w:tcPr>
          <w:p w:rsidR="00697C82" w:rsidRDefault="00697C82" w:rsidP="00697C82"/>
        </w:tc>
        <w:tc>
          <w:tcPr>
            <w:tcW w:w="872" w:type="dxa"/>
          </w:tcPr>
          <w:p w:rsidR="00697C82" w:rsidRDefault="00697C82" w:rsidP="00697C82"/>
        </w:tc>
      </w:tr>
    </w:tbl>
    <w:p w:rsidR="000431E2" w:rsidRDefault="000431E2">
      <w:bookmarkStart w:id="0" w:name="_GoBack"/>
      <w:bookmarkEnd w:id="0"/>
    </w:p>
    <w:sectPr w:rsidR="00043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8"/>
    <w:rsid w:val="000431E2"/>
    <w:rsid w:val="001A3819"/>
    <w:rsid w:val="004957E8"/>
    <w:rsid w:val="00697C82"/>
    <w:rsid w:val="0071476C"/>
    <w:rsid w:val="007301AD"/>
    <w:rsid w:val="007643A0"/>
    <w:rsid w:val="009C047C"/>
    <w:rsid w:val="00A6295F"/>
    <w:rsid w:val="00C062A3"/>
    <w:rsid w:val="00EF6A62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FEF"/>
  <w15:chartTrackingRefBased/>
  <w15:docId w15:val="{B7221E84-88B7-4690-9A67-935120A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Wencke Behrens</dc:creator>
  <cp:keywords/>
  <dc:description/>
  <cp:lastModifiedBy>Joachim Preusse</cp:lastModifiedBy>
  <cp:revision>4</cp:revision>
  <dcterms:created xsi:type="dcterms:W3CDTF">2020-09-29T15:18:00Z</dcterms:created>
  <dcterms:modified xsi:type="dcterms:W3CDTF">2020-09-29T15:46:00Z</dcterms:modified>
</cp:coreProperties>
</file>